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lang w:val="sr-RS" w:bidi="hi-IN"/>
        </w:rPr>
      </w:pPr>
      <w:r>
        <w:rPr>
          <w:lang w:val="sr-RS" w:bidi="hi-IN"/>
        </w:rPr>
      </w:r>
    </w:p>
    <w:p>
      <w:pPr>
        <w:pStyle w:val="Normal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bCs/>
          <w:iCs/>
          <w:lang w:val="sr-RS" w:bidi="hi-IN"/>
        </w:rPr>
        <w:t>УГОВОР О ЈАВНОЈ НАБАВЦИ ДОБАРА – ЕЛЕКТРИЧНЕ ЕНЕРГИЈЕ</w:t>
      </w:r>
    </w:p>
    <w:p>
      <w:pPr>
        <w:pStyle w:val="Normal"/>
        <w:tabs>
          <w:tab w:val="clear" w:pos="720"/>
          <w:tab w:val="left" w:pos="360" w:leader="none"/>
        </w:tabs>
        <w:ind w:left="1110" w:right="0" w:hanging="0"/>
        <w:jc w:val="both"/>
        <w:rPr>
          <w:lang w:val="sr-RS" w:bidi="hi-IN"/>
        </w:rPr>
      </w:pPr>
      <w:r>
        <w:rPr>
          <w:rFonts w:cs="Arial"/>
          <w:b/>
          <w:bCs/>
          <w:iCs/>
          <w:sz w:val="20"/>
          <w:szCs w:val="20"/>
          <w:lang w:val="sr-RS" w:bidi="hi-IN"/>
        </w:rPr>
        <w:t xml:space="preserve">Партија 2- </w:t>
      </w:r>
      <w:r>
        <w:rPr>
          <w:rFonts w:cs="Arial"/>
          <w:b w:val="false"/>
          <w:bCs w:val="false"/>
          <w:iCs/>
          <w:sz w:val="22"/>
          <w:szCs w:val="22"/>
          <w:lang w:val="sr-RS" w:bidi="hi-IN"/>
        </w:rPr>
        <w:t>електрична енергија за потребе Градске управе града Зајечара (широка потрошња и ниски напон)</w:t>
      </w:r>
    </w:p>
    <w:p>
      <w:pPr>
        <w:pStyle w:val="Normal"/>
        <w:rPr>
          <w:rFonts w:ascii="Times New Roman" w:hAnsi="Times New Roman" w:cs="Times New Roman"/>
          <w:b/>
          <w:b/>
          <w:bCs/>
          <w:i/>
          <w:i/>
          <w:iCs/>
          <w:lang w:val="sr-RS" w:bidi="hi-IN"/>
        </w:rPr>
      </w:pPr>
      <w:r>
        <w:rPr>
          <w:rFonts w:cs="Times New Roman" w:ascii="Times New Roman" w:hAnsi="Times New Roman"/>
          <w:b/>
          <w:bCs/>
          <w:i/>
          <w:iCs/>
          <w:lang w:val="sr-RS" w:bidi="hi-IN"/>
        </w:rPr>
      </w:r>
    </w:p>
    <w:p>
      <w:pPr>
        <w:pStyle w:val="Normal"/>
        <w:rPr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  <w:t>Закључен између:</w:t>
      </w:r>
    </w:p>
    <w:p>
      <w:pPr>
        <w:pStyle w:val="Normal"/>
        <w:tabs>
          <w:tab w:val="clear" w:pos="720"/>
          <w:tab w:val="right" w:pos="8640" w:leader="none"/>
        </w:tabs>
        <w:rPr>
          <w:rFonts w:ascii="Times New Roman" w:hAnsi="Times New Roman" w:cs="Times New Roman"/>
          <w:b/>
          <w:b/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</w:r>
    </w:p>
    <w:p>
      <w:pPr>
        <w:pStyle w:val="Normal"/>
        <w:rPr>
          <w:lang w:val="sr-RS" w:bidi="hi-IN"/>
        </w:rPr>
      </w:pPr>
      <w:r>
        <w:rPr>
          <w:rFonts w:eastAsia="Times New Roman" w:cs="Times New Roman" w:ascii="Times New Roman" w:hAnsi="Times New Roman"/>
          <w:bCs/>
          <w:lang w:val="sr-RS" w:bidi="hi-IN"/>
        </w:rPr>
        <w:t xml:space="preserve"> </w:t>
      </w:r>
      <w:r>
        <w:rPr>
          <w:rFonts w:cs="Times New Roman" w:ascii="Times New Roman" w:hAnsi="Times New Roman"/>
          <w:b/>
          <w:bCs/>
          <w:lang w:val="sr-RS" w:bidi="hi-IN"/>
        </w:rPr>
        <w:t>1. Градске управе градаЗајечара</w:t>
      </w:r>
      <w:r>
        <w:rPr>
          <w:rFonts w:cs="Times New Roman" w:ascii="Times New Roman" w:hAnsi="Times New Roman"/>
          <w:bCs/>
          <w:lang w:val="sr-RS" w:bidi="hi-IN"/>
        </w:rPr>
        <w:t>, 19000 Зајечар, ул. Трг oслобођења бр. 1, МБР 07189923, ПИБ 101757838, коју заступа  Слободан Виденовић, начелник Градске управе града Зајечара, (у даљем тексту: купац)</w:t>
      </w:r>
      <w:r>
        <w:rPr>
          <w:rFonts w:cs="Times New Roman" w:ascii="Times New Roman" w:hAnsi="Times New Roman"/>
          <w:b/>
          <w:bCs/>
          <w:lang w:val="sr-RS" w:bidi="hi-IN"/>
        </w:rPr>
        <w:t xml:space="preserve"> </w:t>
      </w:r>
      <w:r>
        <w:rPr>
          <w:rFonts w:cs="Times New Roman" w:ascii="Times New Roman" w:hAnsi="Times New Roman"/>
          <w:bCs/>
          <w:lang w:val="sr-RS" w:bidi="hi-IN"/>
        </w:rPr>
        <w:t>и</w:t>
      </w:r>
    </w:p>
    <w:p>
      <w:pPr>
        <w:pStyle w:val="Normal"/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spacing w:lineRule="auto" w:line="360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 xml:space="preserve">2. ____________________________________________ </w:t>
      </w:r>
      <w:r>
        <w:rPr>
          <w:rFonts w:cs="Times New Roman" w:ascii="Times New Roman" w:hAnsi="Times New Roman"/>
          <w:bCs/>
          <w:lang w:val="sr-RS" w:bidi="hi-IN"/>
        </w:rPr>
        <w:t xml:space="preserve">из ___________________, Ул._____________________________________, кога заступа ___________________________( у даљем тексту: продавац). </w:t>
      </w:r>
    </w:p>
    <w:p>
      <w:pPr>
        <w:pStyle w:val="Normal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- матични број: ______________</w:t>
      </w:r>
    </w:p>
    <w:p>
      <w:pPr>
        <w:pStyle w:val="Normal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- текући рачун: __________________________________</w:t>
      </w:r>
    </w:p>
    <w:p>
      <w:pPr>
        <w:pStyle w:val="Normal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- ПИБ: _____________________</w:t>
      </w:r>
    </w:p>
    <w:p>
      <w:pPr>
        <w:pStyle w:val="Normal"/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ind w:left="360" w:right="0" w:hanging="0"/>
        <w:rPr>
          <w:lang w:val="sr-RS" w:bidi="hi-IN"/>
        </w:rPr>
      </w:pPr>
      <w:r>
        <w:rPr>
          <w:rFonts w:cs="Times New Roman" w:ascii="Times New Roman" w:hAnsi="Times New Roman"/>
          <w:b/>
          <w:bCs/>
          <w:u w:val="single"/>
          <w:lang w:val="sr-RS" w:bidi="hi-IN"/>
        </w:rPr>
        <w:t>АКО ЈЕ ДАТА ЗАЈЕДНИЧКА ПОНУДА/ ПОНУДА ГРУПЕ ПОНУЂАЧА</w:t>
      </w:r>
    </w:p>
    <w:p>
      <w:pPr>
        <w:pStyle w:val="Normal"/>
        <w:ind w:left="360" w:right="0" w:hanging="0"/>
        <w:rPr>
          <w:rFonts w:ascii="Times New Roman" w:hAnsi="Times New Roman" w:cs="Times New Roman"/>
          <w:b/>
          <w:b/>
          <w:bCs/>
          <w:u w:val="single"/>
          <w:lang w:val="sr-RS" w:bidi="hi-IN"/>
        </w:rPr>
      </w:pPr>
      <w:r>
        <w:rPr>
          <w:rFonts w:cs="Times New Roman" w:ascii="Times New Roman" w:hAnsi="Times New Roman"/>
          <w:b/>
          <w:bCs/>
          <w:u w:val="single"/>
          <w:lang w:val="sr-RS" w:bidi="hi-IN"/>
        </w:rPr>
      </w:r>
    </w:p>
    <w:p>
      <w:pPr>
        <w:pStyle w:val="Normal"/>
        <w:ind w:left="360" w:right="0" w:hanging="0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2.___________________________________________________ из _____________________Ул.____________________________</w:t>
      </w:r>
    </w:p>
    <w:p>
      <w:pPr>
        <w:pStyle w:val="Normal"/>
        <w:ind w:left="360" w:right="0" w:hanging="0"/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418" w:leader="none"/>
          <w:tab w:val="center" w:pos="6237" w:leader="none"/>
        </w:tabs>
        <w:suppressAutoHyphens w:val="false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матични број: ______________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418" w:leader="none"/>
          <w:tab w:val="center" w:pos="6237" w:leader="none"/>
        </w:tabs>
        <w:suppressAutoHyphens w:val="false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текући рачун: ______________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418" w:leader="none"/>
          <w:tab w:val="center" w:pos="6237" w:leader="none"/>
        </w:tabs>
        <w:suppressAutoHyphens w:val="false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ПИБ: _____________________</w:t>
      </w:r>
    </w:p>
    <w:p>
      <w:pPr>
        <w:pStyle w:val="Normal"/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ind w:left="360" w:right="0" w:hanging="0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3. ___________________________________________________ из _____________________Ул.____________________________</w:t>
      </w:r>
    </w:p>
    <w:p>
      <w:pPr>
        <w:pStyle w:val="Normal"/>
        <w:ind w:left="360" w:right="0" w:hanging="0"/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418" w:leader="none"/>
          <w:tab w:val="center" w:pos="6237" w:leader="none"/>
        </w:tabs>
        <w:suppressAutoHyphens w:val="false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матични број: ______________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418" w:leader="none"/>
          <w:tab w:val="center" w:pos="6237" w:leader="none"/>
        </w:tabs>
        <w:suppressAutoHyphens w:val="false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текући рачун: ______________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418" w:leader="none"/>
          <w:tab w:val="center" w:pos="6237" w:leader="none"/>
        </w:tabs>
        <w:suppressAutoHyphens w:val="false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ПИБ: _____________________</w:t>
      </w:r>
    </w:p>
    <w:p>
      <w:pPr>
        <w:pStyle w:val="Normal"/>
        <w:spacing w:lineRule="auto" w:line="360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Ч</w:t>
      </w:r>
      <w:r>
        <w:rPr>
          <w:rFonts w:cs="Times New Roman" w:ascii="Times New Roman" w:hAnsi="Times New Roman"/>
          <w:b/>
          <w:lang w:val="sr-RS" w:bidi="hi-IN"/>
        </w:rPr>
        <w:t>лан 1</w:t>
      </w:r>
      <w:r>
        <w:rPr>
          <w:rFonts w:cs="Times New Roman" w:ascii="Times New Roman" w:hAnsi="Times New Roman"/>
          <w:b/>
          <w:i/>
          <w:lang w:val="sr-RS" w:bidi="hi-IN"/>
        </w:rPr>
        <w:t>.</w:t>
      </w:r>
    </w:p>
    <w:p>
      <w:pPr>
        <w:pStyle w:val="Normal"/>
        <w:rPr>
          <w:lang w:val="sr-RS" w:bidi="hi-IN"/>
        </w:rPr>
      </w:pPr>
      <w:r>
        <w:rPr>
          <w:rFonts w:cs="Times New Roman" w:ascii="Times New Roman" w:hAnsi="Times New Roman"/>
          <w:b/>
          <w:i/>
          <w:lang w:val="sr-RS" w:bidi="hi-IN"/>
        </w:rPr>
        <w:tab/>
      </w:r>
      <w:r>
        <w:rPr>
          <w:rFonts w:cs="Times New Roman" w:ascii="Times New Roman" w:hAnsi="Times New Roman"/>
          <w:lang w:val="sr-RS" w:bidi="hi-IN"/>
        </w:rPr>
        <w:t>Уговорне стране сагласно констатују:</w:t>
      </w:r>
    </w:p>
    <w:p>
      <w:pPr>
        <w:pStyle w:val="Heading4"/>
        <w:numPr>
          <w:ilvl w:val="3"/>
          <w:numId w:val="3"/>
        </w:numPr>
        <w:tabs>
          <w:tab w:val="clear" w:pos="720"/>
          <w:tab w:val="left" w:pos="1418" w:leader="none"/>
          <w:tab w:val="center" w:pos="6237" w:leader="none"/>
        </w:tabs>
        <w:suppressAutoHyphens w:val="false"/>
        <w:spacing w:lineRule="auto" w:line="240"/>
        <w:ind w:left="864" w:right="0" w:hanging="864"/>
        <w:jc w:val="both"/>
        <w:rPr>
          <w:lang w:val="sr-RS" w:bidi="hi-IN"/>
        </w:rPr>
      </w:pPr>
      <w:r>
        <w:rPr>
          <w:rFonts w:cs="Times New Roman" w:ascii="Times New Roman" w:hAnsi="Times New Roman"/>
          <w:b w:val="false"/>
          <w:sz w:val="24"/>
          <w:u w:val="none"/>
          <w:lang w:val="sr-RS" w:bidi="hi-IN"/>
        </w:rPr>
        <w:t>да је купац спровео отворени поступак јавне набавке добара – електричне енергије, поступак обликован у две партије:</w:t>
      </w:r>
    </w:p>
    <w:p>
      <w:pPr>
        <w:pStyle w:val="Normal"/>
        <w:numPr>
          <w:ilvl w:val="0"/>
          <w:numId w:val="4"/>
        </w:numPr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 xml:space="preserve">Партија 2- </w:t>
      </w:r>
      <w:r>
        <w:rPr>
          <w:rFonts w:cs="Arial"/>
          <w:b w:val="false"/>
          <w:bCs w:val="false"/>
          <w:sz w:val="22"/>
          <w:szCs w:val="22"/>
          <w:lang w:val="sr-RS" w:bidi="hi-IN"/>
        </w:rPr>
        <w:t>електрична енергија за потребе Градске управе града Зајечара (широка потрошња и ниски напон)</w:t>
      </w:r>
    </w:p>
    <w:p>
      <w:pPr>
        <w:pStyle w:val="BodyText3"/>
        <w:numPr>
          <w:ilvl w:val="0"/>
          <w:numId w:val="4"/>
        </w:numPr>
        <w:tabs>
          <w:tab w:val="clear" w:pos="720"/>
          <w:tab w:val="left" w:pos="900" w:leader="none"/>
          <w:tab w:val="left" w:pos="1418" w:leader="none"/>
        </w:tabs>
        <w:suppressAutoHyphens w:val="false"/>
        <w:spacing w:lineRule="auto" w:line="240" w:before="0" w:after="0"/>
        <w:ind w:left="714" w:right="0" w:hanging="357"/>
        <w:jc w:val="both"/>
        <w:rPr>
          <w:lang w:val="sr-RS" w:bidi="hi-IN"/>
        </w:rPr>
      </w:pPr>
      <w:r>
        <w:rPr>
          <w:bCs/>
          <w:sz w:val="24"/>
          <w:szCs w:val="24"/>
          <w:lang w:val="sr-RS" w:bidi="hi-IN"/>
        </w:rPr>
        <w:t>да је Купац Одлуком о додели уговора ________________од _________________ изабрао купца за предметну јавну набавку (</w:t>
      </w:r>
      <w:r>
        <w:rPr>
          <w:i/>
          <w:sz w:val="24"/>
          <w:szCs w:val="24"/>
          <w:lang w:val="sr-RS" w:bidi="hi-IN"/>
        </w:rPr>
        <w:t>попуњава наручилац)</w:t>
      </w:r>
      <w:r>
        <w:rPr>
          <w:bCs/>
          <w:sz w:val="24"/>
          <w:szCs w:val="24"/>
          <w:lang w:val="sr-RS" w:bidi="hi-IN"/>
        </w:rPr>
        <w:t>.</w:t>
      </w:r>
    </w:p>
    <w:p>
      <w:pPr>
        <w:pStyle w:val="Normal"/>
        <w:tabs>
          <w:tab w:val="clear" w:pos="720"/>
          <w:tab w:val="left" w:pos="2880" w:leader="none"/>
        </w:tabs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tabs>
          <w:tab w:val="clear" w:pos="720"/>
          <w:tab w:val="left" w:pos="2880" w:leader="none"/>
        </w:tabs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tabs>
          <w:tab w:val="clear" w:pos="720"/>
          <w:tab w:val="left" w:pos="2880" w:leader="none"/>
        </w:tabs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tabs>
          <w:tab w:val="clear" w:pos="720"/>
          <w:tab w:val="left" w:pos="2880" w:leader="none"/>
        </w:tabs>
        <w:rPr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  <w:t xml:space="preserve">ПРЕДМЕТ УГОВОРА: </w:t>
      </w:r>
    </w:p>
    <w:p>
      <w:pPr>
        <w:pStyle w:val="Normal"/>
        <w:spacing w:lineRule="auto" w:line="360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Ч</w:t>
      </w:r>
      <w:r>
        <w:rPr>
          <w:rFonts w:cs="Times New Roman" w:ascii="Times New Roman" w:hAnsi="Times New Roman"/>
          <w:b/>
          <w:lang w:val="sr-RS" w:bidi="hi-IN"/>
        </w:rPr>
        <w:t>лан 2</w:t>
      </w:r>
      <w:r>
        <w:rPr>
          <w:rFonts w:cs="Times New Roman" w:ascii="Times New Roman" w:hAnsi="Times New Roman"/>
          <w:b/>
          <w:i/>
          <w:lang w:val="sr-RS" w:bidi="hi-IN"/>
        </w:rPr>
        <w:t>.</w:t>
      </w:r>
    </w:p>
    <w:p>
      <w:pPr>
        <w:pStyle w:val="Normal"/>
        <w:overflowPunct w:val="false"/>
        <w:jc w:val="both"/>
        <w:textAlignment w:val="baseline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ab/>
        <w:t xml:space="preserve">Предмет овог уговора је набавка добара- </w:t>
      </w:r>
      <w:bookmarkStart w:id="0" w:name="__DdeLink__6038_962660688"/>
      <w:r>
        <w:rPr>
          <w:rFonts w:cs="Times New Roman" w:ascii="Times New Roman" w:hAnsi="Times New Roman"/>
          <w:lang w:val="sr-RS" w:bidi="hi-IN"/>
        </w:rPr>
        <w:t xml:space="preserve">електричне енергије за потребе </w:t>
      </w:r>
      <w:r>
        <w:rPr>
          <w:rFonts w:cs="Arial"/>
          <w:b w:val="false"/>
          <w:bCs w:val="false"/>
          <w:sz w:val="22"/>
          <w:szCs w:val="22"/>
          <w:lang w:val="sr-RS" w:bidi="hi-IN"/>
        </w:rPr>
        <w:t xml:space="preserve"> Градске управе града Зајечара (широка потрошња и ниски напон)</w:t>
      </w:r>
      <w:bookmarkEnd w:id="0"/>
      <w:r>
        <w:rPr>
          <w:rFonts w:cs="Times New Roman" w:ascii="Times New Roman" w:hAnsi="Times New Roman"/>
          <w:lang w:val="sr-RS" w:bidi="hi-IN"/>
        </w:rPr>
        <w:t>, у свему према усвојенoj понуди продавца</w:t>
      </w:r>
    </w:p>
    <w:p>
      <w:pPr>
        <w:pStyle w:val="Normal"/>
        <w:numPr>
          <w:ilvl w:val="0"/>
          <w:numId w:val="4"/>
        </w:numPr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 xml:space="preserve">Партија 2- електрична енергије за потребе </w:t>
      </w:r>
      <w:r>
        <w:rPr>
          <w:rFonts w:cs="Arial"/>
          <w:b w:val="false"/>
          <w:bCs w:val="false"/>
          <w:sz w:val="22"/>
          <w:szCs w:val="22"/>
          <w:lang w:val="sr-RS" w:bidi="hi-IN"/>
        </w:rPr>
        <w:t xml:space="preserve"> Градске управе града Зајечара (широка потрошња и ниски напон)</w:t>
      </w:r>
      <w:r>
        <w:rPr>
          <w:rFonts w:cs="Times New Roman" w:ascii="Times New Roman" w:hAnsi="Times New Roman"/>
          <w:lang w:val="sr-RS" w:bidi="hi-IN"/>
        </w:rPr>
        <w:t>, број понуде ___________ од дана __________ 202</w:t>
      </w:r>
      <w:r>
        <w:rPr>
          <w:rFonts w:cs="Times New Roman" w:ascii="Times New Roman" w:hAnsi="Times New Roman"/>
          <w:lang w:val="sr-RS" w:bidi="hi-IN"/>
        </w:rPr>
        <w:t>5</w:t>
      </w:r>
      <w:r>
        <w:rPr>
          <w:rFonts w:cs="Times New Roman" w:ascii="Times New Roman" w:hAnsi="Times New Roman"/>
          <w:lang w:val="sr-RS" w:bidi="hi-IN"/>
        </w:rPr>
        <w:t>. године,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Times New Roman" w:hAnsi="Times New Roman" w:cs="Times New Roman"/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</w:r>
    </w:p>
    <w:p>
      <w:pPr>
        <w:pStyle w:val="Normal"/>
        <w:ind w:left="720" w:right="0" w:hanging="0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Продавац се обавезује да купцу испоручи електричну енергију, а купац да преузме и плати електричну енергију испоручену у количини и на начин утврђен овим уговором, у свему у складу са свим позитивним прописима који регулишу испоруку електричне енергије.</w:t>
      </w:r>
    </w:p>
    <w:p>
      <w:pPr>
        <w:pStyle w:val="Normal"/>
        <w:ind w:left="720" w:right="0" w:hanging="0"/>
        <w:rPr>
          <w:rFonts w:ascii="Times New Roman" w:hAnsi="Times New Roman" w:cs="Times New Roman"/>
          <w:bCs/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</w:r>
    </w:p>
    <w:p>
      <w:pPr>
        <w:pStyle w:val="Normal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(Продавац наступа са подизвођачем _________________________________, ул _____________________ из _________________________, који ће делимично извршити предметну набавку, у делу___________________________).</w:t>
      </w:r>
      <w:r>
        <w:rPr>
          <w:rFonts w:cs="Times New Roman" w:ascii="Times New Roman" w:hAnsi="Times New Roman"/>
          <w:lang w:val="sr-RS" w:bidi="hi-IN"/>
        </w:rPr>
        <w:t xml:space="preserve"> (попуњава понуђач уколико наступа са подизвођачем).</w:t>
      </w:r>
    </w:p>
    <w:p>
      <w:pPr>
        <w:pStyle w:val="Normal"/>
        <w:rPr>
          <w:rFonts w:ascii="Times New Roman" w:hAnsi="Times New Roman" w:cs="Times New Roman"/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</w:r>
    </w:p>
    <w:p>
      <w:pPr>
        <w:pStyle w:val="Normal"/>
        <w:rPr>
          <w:rFonts w:ascii="Times New Roman" w:hAnsi="Times New Roman" w:cs="Times New Roman"/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</w:r>
    </w:p>
    <w:p>
      <w:pPr>
        <w:pStyle w:val="Normal"/>
        <w:rPr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  <w:t>ПЕРИОД ИСПОРУКЕ</w:t>
      </w:r>
    </w:p>
    <w:p>
      <w:pPr>
        <w:pStyle w:val="Normal"/>
        <w:rPr>
          <w:rFonts w:ascii="Times New Roman" w:hAnsi="Times New Roman" w:cs="Times New Roman"/>
          <w:b/>
          <w:b/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</w:r>
    </w:p>
    <w:p>
      <w:pPr>
        <w:pStyle w:val="Normal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  <w:t>Члан 3.</w:t>
      </w:r>
    </w:p>
    <w:p>
      <w:pPr>
        <w:pStyle w:val="Normal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Уговорне стране су сагласне да обавезу испоруке и продаје, односно преузимања и плаћања електричне енергије изврше на следећи начин:</w:t>
      </w:r>
    </w:p>
    <w:p>
      <w:pPr>
        <w:pStyle w:val="Normal"/>
        <w:ind w:left="720" w:right="0" w:hanging="0"/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- Врста продаје- потпуно снабдевање електричном енергијом,</w:t>
      </w:r>
    </w:p>
    <w:p>
      <w:pPr>
        <w:pStyle w:val="Normal"/>
        <w:ind w:left="720" w:right="0" w:hanging="0"/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- Капацитет испоруке- јединична цена/kwh,</w:t>
      </w:r>
    </w:p>
    <w:p>
      <w:pPr>
        <w:pStyle w:val="Normal"/>
        <w:ind w:left="720" w:right="0" w:hanging="0"/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- период испоруке: годину дана од дана закључења уговора (365 календарских дана).</w:t>
      </w:r>
    </w:p>
    <w:p>
      <w:pPr>
        <w:pStyle w:val="Normal"/>
        <w:ind w:left="720" w:right="0" w:hanging="0"/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Уговор се закључује на рок испоруке од 12 месеци од датума потписивања уговора о потпуном снабдевању – од 00:00 часова до 24:00 часова, а ступа на снагу тек од успешно завршене законске процедуре промене снабдевача.</w:t>
      </w:r>
    </w:p>
    <w:p>
      <w:pPr>
        <w:pStyle w:val="Normal"/>
        <w:ind w:left="720" w:right="0" w:hanging="0"/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- Количина енергије: на основу потреба, односно остварене потрошње купца,</w:t>
      </w:r>
    </w:p>
    <w:p>
      <w:pPr>
        <w:pStyle w:val="Normal"/>
        <w:ind w:left="720" w:right="0" w:hanging="0"/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- Место испоруке добара: сва обрачунска мерна места купца</w:t>
      </w:r>
    </w:p>
    <w:p>
      <w:pPr>
        <w:pStyle w:val="Normal"/>
        <w:tabs>
          <w:tab w:val="clear" w:pos="720"/>
          <w:tab w:val="left" w:pos="1418" w:leader="none"/>
          <w:tab w:val="center" w:pos="6237" w:leader="none"/>
        </w:tabs>
        <w:ind w:left="720" w:right="0" w:hanging="0"/>
        <w:jc w:val="both"/>
        <w:rPr>
          <w:rFonts w:ascii="Times New Roman" w:hAnsi="Times New Roman" w:cs="Times New Roman"/>
          <w:bCs/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</w:r>
    </w:p>
    <w:p>
      <w:pPr>
        <w:pStyle w:val="Normal"/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Уговор о јавној набавци примењиваће се по окончању законске процедуре промене снадбевача, у складу са одредбама члана 197. Закона о енергетици (''Сл. гласник РС'', број 145/2014).</w:t>
      </w:r>
    </w:p>
    <w:p>
      <w:pPr>
        <w:pStyle w:val="Normal"/>
        <w:tabs>
          <w:tab w:val="clear" w:pos="720"/>
          <w:tab w:val="left" w:pos="1418" w:leader="none"/>
          <w:tab w:val="center" w:pos="6237" w:leader="none"/>
        </w:tabs>
        <w:jc w:val="both"/>
        <w:rPr>
          <w:rFonts w:ascii="Times New Roman" w:hAnsi="Times New Roman" w:cs="Times New Roman"/>
          <w:bCs/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</w:r>
    </w:p>
    <w:p>
      <w:pPr>
        <w:pStyle w:val="Normal"/>
        <w:tabs>
          <w:tab w:val="clear" w:pos="720"/>
          <w:tab w:val="left" w:pos="1418" w:leader="none"/>
          <w:tab w:val="center" w:pos="6237" w:leader="none"/>
        </w:tabs>
        <w:jc w:val="both"/>
        <w:rPr>
          <w:rFonts w:ascii="Times New Roman" w:hAnsi="Times New Roman" w:cs="Times New Roman"/>
          <w:bCs/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</w:r>
    </w:p>
    <w:p>
      <w:pPr>
        <w:pStyle w:val="Normal"/>
        <w:tabs>
          <w:tab w:val="clear" w:pos="720"/>
          <w:tab w:val="left" w:pos="1418" w:leader="none"/>
          <w:tab w:val="center" w:pos="6237" w:leader="none"/>
        </w:tabs>
        <w:jc w:val="both"/>
        <w:rPr>
          <w:rFonts w:ascii="Times New Roman" w:hAnsi="Times New Roman" w:cs="Times New Roman"/>
          <w:bCs/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</w:r>
    </w:p>
    <w:p>
      <w:pPr>
        <w:pStyle w:val="Normal"/>
        <w:tabs>
          <w:tab w:val="clear" w:pos="720"/>
          <w:tab w:val="left" w:pos="1418" w:leader="none"/>
          <w:tab w:val="center" w:pos="6237" w:leader="none"/>
        </w:tabs>
        <w:jc w:val="both"/>
        <w:rPr>
          <w:rFonts w:ascii="Times New Roman" w:hAnsi="Times New Roman" w:cs="Times New Roman"/>
          <w:bCs/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</w:r>
    </w:p>
    <w:p>
      <w:pPr>
        <w:pStyle w:val="Normal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ЦЕНА:</w:t>
      </w:r>
    </w:p>
    <w:p>
      <w:pPr>
        <w:pStyle w:val="Normal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Члан 4.</w:t>
      </w:r>
    </w:p>
    <w:p>
      <w:pPr>
        <w:pStyle w:val="Normal"/>
        <w:jc w:val="center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 xml:space="preserve">Понуђач се обавезује да испоручује  </w:t>
      </w:r>
      <w:r>
        <w:rPr>
          <w:rFonts w:cs="Times New Roman" w:ascii="Times New Roman" w:hAnsi="Times New Roman"/>
          <w:bCs/>
          <w:lang w:val="sr-RS" w:bidi="hi-IN"/>
        </w:rPr>
        <w:t>електричну енергију по јединичној цени без ПДВ-а</w:t>
      </w:r>
    </w:p>
    <w:p>
      <w:pPr>
        <w:pStyle w:val="Normal"/>
        <w:jc w:val="center"/>
        <w:rPr>
          <w:rFonts w:ascii="Times New Roman" w:hAnsi="Times New Roman" w:cs="Times New Roman"/>
          <w:bCs/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</w:r>
    </w:p>
    <w:p>
      <w:pPr>
        <w:pStyle w:val="Normal"/>
        <w:jc w:val="center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- од____________________ (</w:t>
      </w:r>
      <w:r>
        <w:rPr>
          <w:rFonts w:eastAsia="Times New Roman" w:cs="Times New Roman" w:ascii="Times New Roman" w:hAnsi="Times New Roman"/>
          <w:b w:val="false"/>
          <w:bCs w:val="false"/>
          <w:iCs/>
          <w:lang w:val="sr-RS" w:eastAsia="ar-SA" w:bidi="hi-IN"/>
        </w:rPr>
        <w:t>Широка потрошња ЈТ мерење</w:t>
      </w:r>
      <w:r>
        <w:rPr>
          <w:rFonts w:cs="Times New Roman" w:ascii="Times New Roman" w:hAnsi="Times New Roman"/>
          <w:bCs/>
          <w:lang w:val="sr-RS" w:bidi="hi-IN"/>
        </w:rPr>
        <w:t xml:space="preserve"> - јед.мера kWh)</w:t>
      </w:r>
    </w:p>
    <w:p>
      <w:pPr>
        <w:pStyle w:val="Normal"/>
        <w:jc w:val="center"/>
        <w:rPr>
          <w:rFonts w:ascii="Times New Roman" w:hAnsi="Times New Roman" w:cs="Times New Roman"/>
          <w:bCs/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</w:r>
    </w:p>
    <w:p>
      <w:pPr>
        <w:pStyle w:val="Normal"/>
        <w:jc w:val="center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- од____________________ (</w:t>
      </w:r>
      <w:r>
        <w:rPr>
          <w:rFonts w:eastAsia="Times New Roman" w:cs="Times New Roman" w:ascii="Times New Roman" w:hAnsi="Times New Roman"/>
          <w:b w:val="false"/>
          <w:bCs w:val="false"/>
          <w:iCs/>
          <w:lang w:val="sr-RS" w:eastAsia="ar-SA" w:bidi="hi-IN"/>
        </w:rPr>
        <w:t>Широка потрошња ДТ мерење зона ВТ</w:t>
      </w:r>
      <w:r>
        <w:rPr>
          <w:rFonts w:cs="Times New Roman" w:ascii="Times New Roman" w:hAnsi="Times New Roman"/>
          <w:b w:val="false"/>
          <w:bCs w:val="false"/>
          <w:lang w:val="sr-RS" w:bidi="hi-IN"/>
        </w:rPr>
        <w:t xml:space="preserve"> </w:t>
      </w:r>
      <w:r>
        <w:rPr>
          <w:rFonts w:cs="Times New Roman" w:ascii="Times New Roman" w:hAnsi="Times New Roman"/>
          <w:bCs/>
          <w:lang w:val="sr-RS" w:bidi="hi-IN"/>
        </w:rPr>
        <w:t>- јед.мера kWh)</w:t>
      </w:r>
    </w:p>
    <w:p>
      <w:pPr>
        <w:pStyle w:val="Normal"/>
        <w:jc w:val="center"/>
        <w:rPr>
          <w:rFonts w:ascii="Times New Roman" w:hAnsi="Times New Roman" w:cs="Times New Roman"/>
          <w:bCs/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-</w:t>
      </w:r>
      <w:r>
        <w:rPr>
          <w:rFonts w:cs="Times New Roman" w:ascii="Times New Roman" w:hAnsi="Times New Roman"/>
          <w:b w:val="false"/>
          <w:bCs w:val="false"/>
          <w:lang w:val="sr-RS" w:bidi="hi-IN"/>
        </w:rPr>
        <w:t>од</w:t>
      </w:r>
      <w:r>
        <w:rPr>
          <w:rFonts w:cs="Times New Roman" w:ascii="Times New Roman" w:hAnsi="Times New Roman"/>
          <w:b/>
          <w:bCs/>
          <w:lang w:val="sr-RS" w:bidi="hi-IN"/>
        </w:rPr>
        <w:t>____________________ (</w:t>
      </w:r>
      <w:r>
        <w:rPr>
          <w:rFonts w:eastAsia="Times New Roman" w:cs="Times New Roman" w:ascii="Times New Roman" w:hAnsi="Times New Roman"/>
          <w:b w:val="false"/>
          <w:bCs w:val="false"/>
          <w:iCs/>
          <w:lang w:val="sr-RS" w:eastAsia="ar-SA" w:bidi="hi-IN"/>
        </w:rPr>
        <w:t>Широка потрошња ДТ мерење зона  НТ</w:t>
      </w:r>
      <w:r>
        <w:rPr>
          <w:rFonts w:cs="Times New Roman" w:ascii="Times New Roman" w:hAnsi="Times New Roman"/>
          <w:b w:val="false"/>
          <w:bCs w:val="false"/>
          <w:lang w:val="sr-RS" w:bidi="hi-IN"/>
        </w:rPr>
        <w:t xml:space="preserve"> - јед.мера kWh</w:t>
      </w:r>
      <w:r>
        <w:rPr>
          <w:rFonts w:cs="Times New Roman" w:ascii="Times New Roman" w:hAnsi="Times New Roman"/>
          <w:b/>
          <w:bCs/>
          <w:lang w:val="sr-RS" w:bidi="hi-IN"/>
        </w:rPr>
        <w:t>)</w:t>
      </w:r>
    </w:p>
    <w:p>
      <w:pPr>
        <w:pStyle w:val="Normal"/>
        <w:numPr>
          <w:ilvl w:val="0"/>
          <w:numId w:val="0"/>
        </w:numPr>
        <w:ind w:left="0" w:hanging="0"/>
        <w:jc w:val="center"/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rPr>
          <w:rFonts w:ascii="Times New Roman" w:hAnsi="Times New Roman" w:cs="Times New Roman"/>
          <w:bCs/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0" w:hanging="0"/>
        <w:jc w:val="both"/>
        <w:rPr>
          <w:lang w:val="sr-RS" w:bidi="hi-IN"/>
        </w:rPr>
      </w:pPr>
      <w:r>
        <w:rPr>
          <w:rFonts w:eastAsia="Times New Roman" w:cs="Times New Roman" w:ascii="Times New Roman" w:hAnsi="Times New Roman"/>
          <w:lang w:val="sr-RS" w:bidi="hi-IN"/>
        </w:rPr>
        <w:t>Реализација уговорене вредности ће се у 202</w:t>
      </w:r>
      <w:r>
        <w:rPr>
          <w:rFonts w:eastAsia="Times New Roman" w:cs="Times New Roman" w:ascii="Times New Roman" w:hAnsi="Times New Roman"/>
          <w:lang w:val="sr-RS" w:bidi="hi-IN"/>
        </w:rPr>
        <w:t>5</w:t>
      </w:r>
      <w:r>
        <w:rPr>
          <w:rFonts w:eastAsia="Times New Roman" w:cs="Times New Roman" w:ascii="Times New Roman" w:hAnsi="Times New Roman"/>
          <w:lang w:val="sr-RS" w:bidi="hi-IN"/>
        </w:rPr>
        <w:t>.години вршити до износа расположивих средстава у Финансијском плану Градске управе а у 202</w:t>
      </w:r>
      <w:r>
        <w:rPr>
          <w:rFonts w:eastAsia="Times New Roman" w:cs="Times New Roman" w:ascii="Times New Roman" w:hAnsi="Times New Roman"/>
          <w:lang w:val="sr-RS" w:bidi="hi-IN"/>
        </w:rPr>
        <w:t>6</w:t>
      </w:r>
      <w:r>
        <w:rPr>
          <w:rFonts w:eastAsia="Times New Roman" w:cs="Times New Roman" w:ascii="Times New Roman" w:hAnsi="Times New Roman"/>
          <w:lang w:val="sr-RS" w:bidi="hi-IN"/>
        </w:rPr>
        <w:t>.години у оквиру планираних и обезбеђених средстава за ове намене.</w:t>
      </w:r>
    </w:p>
    <w:p>
      <w:pPr>
        <w:pStyle w:val="Normal"/>
        <w:tabs>
          <w:tab w:val="clear" w:pos="720"/>
          <w:tab w:val="left" w:pos="1418" w:leader="none"/>
          <w:tab w:val="center" w:pos="6237" w:leader="none"/>
        </w:tabs>
        <w:jc w:val="both"/>
        <w:rPr>
          <w:rFonts w:ascii="Times New Roman" w:hAnsi="Times New Roman" w:cs="Times New Roman"/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rPr>
          <w:lang w:val="sr-RS" w:bidi="hi-IN"/>
        </w:rPr>
      </w:pPr>
      <w:r>
        <w:rPr>
          <w:rFonts w:cs="Times New Roman" w:ascii="Times New Roman" w:hAnsi="Times New Roman"/>
          <w:b w:val="false"/>
          <w:bCs w:val="false"/>
          <w:lang w:val="sr-RS" w:bidi="hi-IN"/>
        </w:rPr>
        <w:t>У понуђену цену је урачунат трошак балансирања, али нису урачунати трошкови приступа дистрибутивном систему, накнаде за повлашћене произвођаче електричне енергије, накнаде за енергетску ефикасност, акцизе и такса за јавни медијски сервис Србије.</w:t>
      </w:r>
    </w:p>
    <w:p>
      <w:pPr>
        <w:pStyle w:val="Normal"/>
        <w:numPr>
          <w:ilvl w:val="0"/>
          <w:numId w:val="0"/>
        </w:numPr>
        <w:ind w:left="0" w:hanging="0"/>
        <w:jc w:val="both"/>
        <w:rPr>
          <w:lang w:val="sr-RS" w:bidi="hi-IN"/>
        </w:rPr>
      </w:pPr>
      <w:r>
        <w:rPr>
          <w:lang w:val="sr-RS" w:bidi="hi-IN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tabs>
          <w:tab w:val="clear" w:pos="720"/>
          <w:tab w:val="left" w:pos="1418" w:leader="none"/>
          <w:tab w:val="center" w:pos="6237" w:leader="none"/>
        </w:tabs>
        <w:jc w:val="both"/>
        <w:rPr>
          <w:rFonts w:ascii="Times New Roman" w:hAnsi="Times New Roman" w:cs="Times New Roman"/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</w:r>
    </w:p>
    <w:p>
      <w:pPr>
        <w:pStyle w:val="Normal"/>
        <w:rPr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  <w:t>НАЧИН ОБРАЧУНА И ФАКТУРИСАЊЕ:</w:t>
      </w:r>
    </w:p>
    <w:p>
      <w:pPr>
        <w:pStyle w:val="Normal"/>
        <w:rPr>
          <w:rFonts w:ascii="Times New Roman" w:hAnsi="Times New Roman" w:cs="Times New Roman"/>
          <w:b/>
          <w:b/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</w:r>
    </w:p>
    <w:p>
      <w:pPr>
        <w:pStyle w:val="Normal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  <w:t>Члан 5.</w:t>
      </w:r>
    </w:p>
    <w:p>
      <w:pPr>
        <w:pStyle w:val="Normal"/>
        <w:rPr>
          <w:rFonts w:ascii="Times New Roman" w:hAnsi="Times New Roman" w:cs="Times New Roman"/>
          <w:b/>
          <w:b/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</w:r>
    </w:p>
    <w:p>
      <w:pPr>
        <w:pStyle w:val="BodyText3"/>
        <w:tabs>
          <w:tab w:val="clear" w:pos="720"/>
          <w:tab w:val="left" w:pos="900" w:leader="none"/>
        </w:tabs>
        <w:jc w:val="both"/>
        <w:rPr>
          <w:lang w:val="sr-RS" w:bidi="hi-IN"/>
        </w:rPr>
      </w:pPr>
      <w:r>
        <w:rPr>
          <w:sz w:val="24"/>
          <w:szCs w:val="24"/>
          <w:lang w:val="sr-RS" w:bidi="hi-IN"/>
        </w:rPr>
        <w:tab/>
        <w:t>Као обрачунски период утврђује се временски период који почиње од 07.00 часова првог календарског дана у месецу и траје до 07.00 часова првог календарског дана у наредном месецу.</w:t>
      </w:r>
    </w:p>
    <w:p>
      <w:pPr>
        <w:pStyle w:val="BodyText3"/>
        <w:tabs>
          <w:tab w:val="clear" w:pos="720"/>
          <w:tab w:val="left" w:pos="900" w:leader="none"/>
        </w:tabs>
        <w:jc w:val="both"/>
        <w:rPr>
          <w:lang w:val="sr-RS" w:bidi="hi-IN"/>
        </w:rPr>
      </w:pPr>
      <w:r>
        <w:rPr>
          <w:sz w:val="24"/>
          <w:szCs w:val="24"/>
          <w:lang w:val="sr-RS" w:bidi="hi-IN"/>
        </w:rPr>
        <w:tab/>
        <w:t>Обрачунске величине утврђују се на основу приспелих месечних извештаја о очитавању обрачунских мерних места добијених од стране оператора система.</w:t>
      </w:r>
    </w:p>
    <w:p>
      <w:pPr>
        <w:pStyle w:val="BodyText3"/>
        <w:tabs>
          <w:tab w:val="clear" w:pos="720"/>
          <w:tab w:val="left" w:pos="900" w:leader="none"/>
        </w:tabs>
        <w:rPr>
          <w:b/>
          <w:b/>
          <w:sz w:val="24"/>
          <w:szCs w:val="24"/>
          <w:lang w:val="sr-RS" w:bidi="hi-IN"/>
        </w:rPr>
      </w:pPr>
      <w:r>
        <w:rPr>
          <w:b/>
          <w:sz w:val="24"/>
          <w:szCs w:val="24"/>
          <w:lang w:val="sr-RS" w:bidi="hi-IN"/>
        </w:rPr>
      </w:r>
    </w:p>
    <w:p>
      <w:pPr>
        <w:pStyle w:val="BodyText3"/>
        <w:tabs>
          <w:tab w:val="clear" w:pos="720"/>
          <w:tab w:val="left" w:pos="900" w:leader="none"/>
        </w:tabs>
        <w:rPr>
          <w:lang w:val="sr-RS" w:bidi="hi-IN"/>
        </w:rPr>
      </w:pPr>
      <w:r>
        <w:rPr>
          <w:b/>
          <w:sz w:val="24"/>
          <w:szCs w:val="24"/>
          <w:lang w:val="sr-RS" w:bidi="hi-IN"/>
        </w:rPr>
        <w:t>МЕСТО ИСПОРУКЕ:</w:t>
      </w:r>
    </w:p>
    <w:p>
      <w:pPr>
        <w:pStyle w:val="Normal"/>
        <w:spacing w:before="0" w:after="120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Члан 6</w:t>
      </w:r>
      <w:r>
        <w:rPr>
          <w:rFonts w:cs="Times New Roman" w:ascii="Times New Roman" w:hAnsi="Times New Roman"/>
          <w:b/>
          <w:bCs/>
          <w:i/>
          <w:lang w:val="sr-RS" w:bidi="hi-IN"/>
        </w:rPr>
        <w:t>.</w:t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Место испоруке- сва обрачунска мерна места, купца.</w:t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Купац се обавезује да пре испоруке закључи уговор којим је уредио своју балансну одговорност којом су обухваћена места примопредаје и уговор о приступу систему са оператором система на који је објекат крајњег купца прикључен.</w:t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rPr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  <w:t>ОБРАЧУН УТРОШЕНЕ ЕЛЕКТРИЧНЕ ЕНЕРГИЈЕ:</w:t>
      </w:r>
    </w:p>
    <w:p>
      <w:pPr>
        <w:pStyle w:val="Normal"/>
        <w:rPr>
          <w:rFonts w:ascii="Times New Roman" w:hAnsi="Times New Roman" w:cs="Times New Roman"/>
          <w:b/>
          <w:b/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</w:r>
    </w:p>
    <w:p>
      <w:pPr>
        <w:pStyle w:val="Normal"/>
        <w:spacing w:before="0" w:after="120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Члан 7.</w:t>
      </w:r>
    </w:p>
    <w:p>
      <w:pPr>
        <w:pStyle w:val="Normal"/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Продавац издаје купцу јединствен рачун са исказаном испорученом елекричном енергијом, ПДВ-ом и осталим зависним трошковима најкасније у року од три дана по добијању месечног извештаја од оператора система о очитавању обрачунских мерних места.</w:t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Продавац издаје рачун у два примерка.</w:t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У рачуну се посебно исказују цена продате електричне енергије, накнаде и обрачунати ПДВ.</w:t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Купац се обавезује да плати продавцу и евентуалне друге порезе, доприносе, додатке и накнаде које одређују надлежне државне институције, а које продавац мора зарачунати на основу важећих прописа.</w:t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Купац се обавезује да сноси трошкове своје и коресподентске банке, који су у вези са плаћањима по овим Уговором. Продавац сноси трошкове само своје банке.</w:t>
      </w:r>
    </w:p>
    <w:p>
      <w:pPr>
        <w:pStyle w:val="Normal"/>
        <w:jc w:val="both"/>
        <w:rPr>
          <w:rFonts w:ascii="Times New Roman" w:hAnsi="Times New Roman" w:cs="Times New Roman"/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</w:r>
    </w:p>
    <w:p>
      <w:pPr>
        <w:pStyle w:val="Normal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УСЛОВИ И НАЧИН ПЛАЋАЊА:</w:t>
      </w:r>
    </w:p>
    <w:p>
      <w:pPr>
        <w:pStyle w:val="Normal"/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spacing w:before="0" w:after="120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Члан 8.</w:t>
      </w:r>
    </w:p>
    <w:p>
      <w:pPr>
        <w:pStyle w:val="Normal"/>
        <w:spacing w:before="0" w:after="120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Плаћање ће се вршити у року не краћем од 30 дана од дана пријема исправног рачуна за потрошњу у претходном месецу.</w:t>
      </w:r>
    </w:p>
    <w:p>
      <w:pPr>
        <w:pStyle w:val="Normal"/>
        <w:spacing w:before="0" w:after="120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У случају да купац не плати продавцу рачун у наведеном року, дужан је да за период доцње плати и затезну камату прописану законом, коју је снабдевач дужан да образложи и да као посебан докуменат изда камантни лист.</w:t>
      </w:r>
    </w:p>
    <w:p>
      <w:pPr>
        <w:pStyle w:val="Normal"/>
        <w:spacing w:before="0" w:after="120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Купац ће извршити плаћање на текући рачун продавца, по писменим инструкцијама нзначним на самом рачуну и позивом на број који се плаћа.</w:t>
      </w:r>
    </w:p>
    <w:p>
      <w:pPr>
        <w:pStyle w:val="Normal"/>
        <w:spacing w:before="0" w:after="120"/>
        <w:rPr>
          <w:rFonts w:ascii="Times New Roman" w:hAnsi="Times New Roman" w:cs="Times New Roman"/>
          <w:bCs/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</w:r>
    </w:p>
    <w:p>
      <w:pPr>
        <w:pStyle w:val="Normal"/>
        <w:spacing w:lineRule="auto" w:line="360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ПОРЕЗ НА ДОДАТУ ВРЕДНОСТ:</w:t>
      </w:r>
    </w:p>
    <w:p>
      <w:pPr>
        <w:pStyle w:val="Normal"/>
        <w:spacing w:before="0" w:after="120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  <w:t>Члан 9.</w:t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Порез на додату вредност обрачунава се у складу са важећим Законом о порезу на додату вредност.</w:t>
      </w:r>
    </w:p>
    <w:p>
      <w:pPr>
        <w:pStyle w:val="Normal"/>
        <w:rPr>
          <w:rFonts w:ascii="Times New Roman" w:hAnsi="Times New Roman" w:cs="Times New Roman"/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</w:r>
    </w:p>
    <w:p>
      <w:pPr>
        <w:pStyle w:val="Normal"/>
        <w:rPr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  <w:t>ОБАВЕЗЕ ПРОДАВЦА:</w:t>
      </w:r>
    </w:p>
    <w:p>
      <w:pPr>
        <w:pStyle w:val="Normal"/>
        <w:rPr>
          <w:rFonts w:ascii="Times New Roman" w:hAnsi="Times New Roman" w:cs="Times New Roman"/>
          <w:b/>
          <w:b/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</w:r>
    </w:p>
    <w:p>
      <w:pPr>
        <w:pStyle w:val="Normal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  <w:t>Члан 10.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</w:r>
    </w:p>
    <w:p>
      <w:pPr>
        <w:pStyle w:val="Normal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Поред наведених оабвеза, продавац је дужан и да:</w:t>
      </w:r>
    </w:p>
    <w:p>
      <w:pPr>
        <w:pStyle w:val="Normal"/>
        <w:numPr>
          <w:ilvl w:val="0"/>
          <w:numId w:val="4"/>
        </w:numPr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Купца на његов захтев обавести о подацима о потрошњи електричне енергије, у складу са Законом о енергетици и правилима о промени снабдевача,</w:t>
      </w:r>
    </w:p>
    <w:p>
      <w:pPr>
        <w:pStyle w:val="Normal"/>
        <w:numPr>
          <w:ilvl w:val="0"/>
          <w:numId w:val="4"/>
        </w:numPr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Пре подношења захтева оператору система за обуставу испоруке електричне енергије због неизвршених обавеза, купца претходно писмено упозори да у примереном року изврши своје обавезе,</w:t>
      </w:r>
    </w:p>
    <w:p>
      <w:pPr>
        <w:pStyle w:val="Normal"/>
        <w:numPr>
          <w:ilvl w:val="0"/>
          <w:numId w:val="4"/>
        </w:numPr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се стриктно придржава Уредбе о условима испоруке и снабдевања електричном енергијом,</w:t>
      </w:r>
    </w:p>
    <w:p>
      <w:pPr>
        <w:pStyle w:val="Normal"/>
        <w:numPr>
          <w:ilvl w:val="0"/>
          <w:numId w:val="4"/>
        </w:numPr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купцу даје одговарајућа упутства о најекономичнијим начинима коришћења и штедње електричне енергије, а у циљу штедње и рационалне потрошње.</w:t>
      </w:r>
    </w:p>
    <w:p>
      <w:pPr>
        <w:pStyle w:val="Normal"/>
        <w:rPr>
          <w:rFonts w:ascii="Times New Roman" w:hAnsi="Times New Roman" w:cs="Times New Roman"/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</w:r>
    </w:p>
    <w:p>
      <w:pPr>
        <w:pStyle w:val="Normal"/>
        <w:rPr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  <w:t>НАЧИН ОБАВЕШТАВАЊА О ПРОМЕНИ ЦЕНА И ДРУГИХ УСЛОВА:</w:t>
      </w:r>
    </w:p>
    <w:p>
      <w:pPr>
        <w:pStyle w:val="Normal"/>
        <w:rPr>
          <w:rFonts w:ascii="Times New Roman" w:hAnsi="Times New Roman" w:cs="Times New Roman"/>
          <w:b/>
          <w:b/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</w:r>
    </w:p>
    <w:p>
      <w:pPr>
        <w:pStyle w:val="Normal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  <w:t>Члан 11.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О промени варијабилног дела цена и других услова продаје, продавац је обавезан да писмено обавести купца, најкасније 15 дана пре примене измењених цена или услова продаје, изузев у случају снижења цена и давања купцу повољнијих услова продаје.</w:t>
      </w:r>
    </w:p>
    <w:p>
      <w:pPr>
        <w:pStyle w:val="Normal"/>
        <w:ind w:left="0" w:right="0" w:firstLine="720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У слуају да купац не прихвата измењене услове продаје или измењене цене, има право да раскине уговор.</w:t>
      </w:r>
    </w:p>
    <w:p>
      <w:pPr>
        <w:pStyle w:val="Normal"/>
        <w:tabs>
          <w:tab w:val="clear" w:pos="720"/>
          <w:tab w:val="left" w:pos="1488" w:leader="none"/>
        </w:tabs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ФИНАНСИЈСКО ОБЕЗБЕЂЕЊЕ:</w:t>
      </w:r>
    </w:p>
    <w:p>
      <w:pPr>
        <w:pStyle w:val="Normal"/>
        <w:rPr>
          <w:rFonts w:ascii="Times New Roman" w:hAnsi="Times New Roman" w:cs="Times New Roman"/>
          <w:bCs/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</w:r>
    </w:p>
    <w:p>
      <w:pPr>
        <w:pStyle w:val="Normal"/>
        <w:spacing w:before="0" w:after="120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Члан 12.</w:t>
      </w:r>
    </w:p>
    <w:p>
      <w:pPr>
        <w:pStyle w:val="Normal"/>
        <w:spacing w:before="0" w:after="120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 xml:space="preserve">Уговорне стране констатују да је продавац уз понуду доставио оригинал  банкарску гаранцију за озбиљност понуде, на износ од 3% од </w:t>
      </w:r>
      <w:bookmarkStart w:id="1" w:name="__DdeLink__1159_1370608874"/>
      <w:r>
        <w:rPr>
          <w:rFonts w:cs="Times New Roman" w:ascii="Times New Roman" w:hAnsi="Times New Roman"/>
          <w:bCs/>
          <w:lang w:val="sr-RS" w:bidi="hi-IN"/>
        </w:rPr>
        <w:t>прихваћене цене уговора</w:t>
      </w:r>
      <w:bookmarkEnd w:id="1"/>
      <w:r>
        <w:rPr>
          <w:rFonts w:cs="Times New Roman" w:ascii="Times New Roman" w:hAnsi="Times New Roman"/>
          <w:bCs/>
          <w:lang w:val="sr-RS" w:bidi="hi-IN"/>
        </w:rPr>
        <w:t xml:space="preserve"> без ПДВ-а. Рок важења банкарске гаранције  треба да буде најмање 30 дана од дана отварања понуде.</w:t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 xml:space="preserve">Само изабрани понуђач је дужан да банкарску гаранцију за добро извршење посла у висини од 10% од </w:t>
      </w:r>
      <w:r>
        <w:rPr>
          <w:rFonts w:cs="Times New Roman" w:ascii="Times New Roman" w:hAnsi="Times New Roman"/>
          <w:bCs/>
          <w:lang w:val="sr-RS" w:bidi="hi-IN"/>
        </w:rPr>
        <w:t>прихваћене цене уговора</w:t>
      </w:r>
      <w:r>
        <w:rPr>
          <w:rFonts w:cs="Times New Roman" w:ascii="Times New Roman" w:hAnsi="Times New Roman"/>
          <w:lang w:val="sr-RS" w:bidi="hi-IN"/>
        </w:rPr>
        <w:t xml:space="preserve"> , поднесе купцу приликом закључења уговора, односно најкасније у року од 3 (три) дана од дана закључења уговора.</w:t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>Банкарска  гаранција  за добро извршење посла мора да важи још 10 дана од дана истека рока за коначно извршење посла.</w:t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  <w:t xml:space="preserve">Ако се за време трајања уговора промене рокови за извршење уговорне обавезе, важност банкарске  гаранције </w:t>
      </w:r>
      <w:bookmarkStart w:id="2" w:name="_GoBack"/>
      <w:bookmarkEnd w:id="2"/>
      <w:r>
        <w:rPr>
          <w:rFonts w:cs="Times New Roman" w:ascii="Times New Roman" w:hAnsi="Times New Roman"/>
          <w:lang w:val="sr-RS" w:bidi="hi-IN"/>
        </w:rPr>
        <w:t xml:space="preserve"> мора се продужити.</w:t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</w:r>
    </w:p>
    <w:p>
      <w:pPr>
        <w:pStyle w:val="TextBody"/>
        <w:widowControl/>
        <w:spacing w:before="0" w:after="150"/>
        <w:ind w:left="0" w:right="0" w:hanging="0"/>
        <w:jc w:val="center"/>
        <w:rPr>
          <w:lang w:val="sr-RS" w:bidi="hi-IN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333333"/>
          <w:spacing w:val="0"/>
          <w:sz w:val="24"/>
          <w:szCs w:val="24"/>
          <w:lang w:val="sr-RS" w:bidi="hi-IN"/>
        </w:rPr>
        <w:t>Члан 13.</w:t>
      </w:r>
    </w:p>
    <w:p>
      <w:pPr>
        <w:pStyle w:val="TextBody"/>
        <w:widowControl/>
        <w:spacing w:before="0" w:after="150"/>
        <w:ind w:left="0" w:right="0" w:hanging="0"/>
        <w:rPr>
          <w:rFonts w:ascii="Times New Roman" w:hAnsi="Times New Roman"/>
          <w:caps w:val="false"/>
          <w:smallCaps w:val="false"/>
          <w:color w:val="333333"/>
          <w:spacing w:val="0"/>
          <w:sz w:val="24"/>
          <w:szCs w:val="24"/>
          <w:lang w:val="sr-RS" w:bidi="hi-IN"/>
        </w:rPr>
      </w:pPr>
      <w:r>
        <w:rPr>
          <w:rFonts w:ascii="Times New Roman" w:hAnsi="Times New Roman"/>
          <w:caps w:val="false"/>
          <w:smallCaps w:val="false"/>
          <w:color w:val="333333"/>
          <w:spacing w:val="0"/>
          <w:sz w:val="24"/>
          <w:szCs w:val="24"/>
          <w:lang w:val="sr-RS" w:bidi="hi-IN"/>
        </w:rPr>
      </w:r>
    </w:p>
    <w:p>
      <w:pPr>
        <w:pStyle w:val="TextBody"/>
        <w:widowControl/>
        <w:spacing w:before="0" w:after="150"/>
        <w:ind w:left="0" w:right="0" w:hanging="0"/>
        <w:rPr>
          <w:lang w:val="sr-RS" w:bidi="hi-IN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4"/>
          <w:szCs w:val="24"/>
          <w:lang w:val="sr-RS" w:bidi="hi-IN"/>
        </w:rPr>
        <w:tab/>
        <w:t>Наручилац/Крајњи купац се обавезује да на дан закључења Уговора, преда Понуђачу/Снабдевачу, као инструмент обезбеђења плаћања 4 (четири) бланко менице са клаузулом „без протеста“ и пратећу документацију:</w:t>
        <w:br/>
        <w:t>- Менично овлашћење (број меничних овлашћења је исти као број меница)</w:t>
        <w:br/>
        <w:t>-Оригинал Захтева за регистрацију/брисање меница;</w:t>
        <w:br/>
        <w:t>- Копију овереног картона депонованих потписа меничног дужника за располагање средствима Крајњег купца оверену од стране банке да је верна оригиналу;</w:t>
        <w:br/>
        <w:t>-ОП образац (потврда о лицу које је овлашћено за заступање правног лица меничног дужника и које је као такво уписано у регистар надлежног органа).</w:t>
        <w:br/>
        <w:tab/>
        <w:t>Уколико меница није потписана од стране законског заступника који је истовремено и лице које се налази на картону депонованих потписа, неопходан документ је и посебно пуномоћје законског заступника за преузимање меничне обавезе за лице –потписника менице.</w:t>
        <w:br/>
        <w:t>Снабдевач може, без претходног упозорења Крајњег купца, активирати меницу и наплатити износ доспелог и неизмиреног дуга.</w:t>
        <w:br/>
        <w:tab/>
        <w:t>Крајњи купац је дужан да у случају активирања менице у складу са ставом 3. овог члана, на захтев Снабдевача преда нову бланко меницу, у року од 30 дана од дана пријема захтева, при чему се нова меница предаје са својствима прописаним у ставу 1. овог члана. У супротном Снабдевач има право да раскине Уговор.</w:t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lang w:val="sr-RS" w:bidi="hi-IN"/>
        </w:rPr>
      </w:pPr>
      <w:r>
        <w:rPr>
          <w:rFonts w:cs="Times New Roman" w:ascii="Times New Roman" w:hAnsi="Times New Roman"/>
          <w:lang w:val="sr-RS" w:bidi="hi-IN"/>
        </w:rPr>
      </w:r>
    </w:p>
    <w:p>
      <w:pPr>
        <w:pStyle w:val="Normal"/>
        <w:rPr>
          <w:rFonts w:ascii="Times New Roman" w:hAnsi="Times New Roman" w:cs="Times New Roman"/>
          <w:bCs/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</w:r>
    </w:p>
    <w:p>
      <w:pPr>
        <w:pStyle w:val="Normal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ВИША СИЛА:</w:t>
      </w:r>
    </w:p>
    <w:p>
      <w:pPr>
        <w:pStyle w:val="Normal"/>
        <w:spacing w:before="0" w:after="120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Члан 14.</w:t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Виша сила ослобађа продавца обавезе да испоручи, а купца да преузме количине електричне енергије, утврђене уговором за време његовог трајања.</w:t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Као виша сила сматрају се непредвиђени природни догађаји који имају значај елементарних непогода (поплаве, земљотерси, пожари и сл.), као и догађаји и околности који су настали после закључења уговора који онемогућавају извршење уговора, а који се нису могли сречити, отклонити или избећи. Под таквим околностима сматрају се и акти надлежних државних органа и оператора преносног система, донети у складу са правилима о раду преносног система, а у циљу обезбеђивања сигурности електроенергетског система.</w:t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Уговорна страна која је погођена деловањем више силе, обавезна је да обавести другу угворну страну о почетку и завршетку деловања више силе, као и да предузме потребне активности ради ублажавања последица више силе.</w:t>
      </w:r>
    </w:p>
    <w:p>
      <w:pPr>
        <w:pStyle w:val="Normal"/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ИЗМЕНА, ДОПУНА И РАСКИД УГОВОРА:</w:t>
      </w:r>
    </w:p>
    <w:p>
      <w:pPr>
        <w:pStyle w:val="Normal"/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spacing w:before="0" w:after="120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Члан 15.</w:t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Уговорне стране су сагласне да се овај уговор може изменити, допунити, и раскинути споразумно, писменим путем, у складу са Законом о јавним набавкама и Законом о облигационим односима.</w:t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spacing w:before="0" w:after="120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РЕШАВАЊЕ СПОРОВА:</w:t>
      </w:r>
    </w:p>
    <w:p>
      <w:pPr>
        <w:pStyle w:val="Normal"/>
        <w:spacing w:before="0" w:after="120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Члан 16.</w:t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eastAsia="Times New Roman" w:cs="Times New Roman" w:ascii="Times New Roman" w:hAnsi="Times New Roman"/>
          <w:bCs/>
          <w:lang w:val="sr-RS" w:bidi="hi-IN"/>
        </w:rPr>
        <w:t xml:space="preserve"> </w:t>
      </w:r>
      <w:r>
        <w:rPr>
          <w:rFonts w:cs="Times New Roman" w:ascii="Times New Roman" w:hAnsi="Times New Roman"/>
          <w:bCs/>
          <w:lang w:val="sr-RS" w:bidi="hi-IN"/>
        </w:rPr>
        <w:t>Уговорне стране су сагласне да ће сваки спор који настане у вези са овим уговором настојати да реше мирним путем, у духу добре пословне сарадње.</w:t>
      </w:r>
    </w:p>
    <w:p>
      <w:pPr>
        <w:pStyle w:val="Normal"/>
        <w:ind w:left="0" w:right="0" w:firstLine="720"/>
        <w:jc w:val="both"/>
        <w:rPr>
          <w:lang w:val="sr-RS" w:bidi="hi-IN"/>
        </w:rPr>
      </w:pPr>
      <w:r>
        <w:rPr>
          <w:rFonts w:eastAsia="Times New Roman" w:cs="Times New Roman" w:ascii="Times New Roman" w:hAnsi="Times New Roman"/>
          <w:bCs/>
          <w:lang w:val="sr-RS" w:bidi="hi-IN"/>
        </w:rPr>
        <w:t xml:space="preserve"> </w:t>
      </w:r>
      <w:r>
        <w:rPr>
          <w:rFonts w:cs="Times New Roman" w:ascii="Times New Roman" w:hAnsi="Times New Roman"/>
          <w:bCs/>
          <w:lang w:val="sr-RS" w:bidi="hi-IN"/>
        </w:rPr>
        <w:t>У случају спора који се не може решити мирним путем, надлежан је Приврдни суд у Зајечару.</w:t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bCs/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</w:r>
    </w:p>
    <w:p>
      <w:pPr>
        <w:pStyle w:val="Normal"/>
        <w:jc w:val="both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ПРЕЛАЗНЕ И ЗАВРШНЕ ОДРЕДБЕ: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spacing w:before="0" w:after="120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Члан 17.</w:t>
      </w:r>
    </w:p>
    <w:p>
      <w:pPr>
        <w:pStyle w:val="Normal"/>
        <w:ind w:left="0" w:right="0" w:firstLine="720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На сва питања која нису уређена овим уговором примењиваће се одредбе Закона о облигационим односима, Закона о енерегетици и других одговарајућих прописа.</w:t>
      </w:r>
    </w:p>
    <w:p>
      <w:pPr>
        <w:pStyle w:val="Normal"/>
        <w:ind w:left="0" w:right="0" w:firstLine="720"/>
        <w:rPr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  <w:t>Овај уговор је сачињен у 6 (шест) истоветних примерака, од тога 3  (три) примерка за Купца и 3 (три) примерка за Продавца.</w:t>
      </w:r>
    </w:p>
    <w:p>
      <w:pPr>
        <w:pStyle w:val="Normal"/>
        <w:ind w:left="0" w:right="0" w:firstLine="720"/>
        <w:rPr>
          <w:rFonts w:ascii="Times New Roman" w:hAnsi="Times New Roman" w:cs="Times New Roman"/>
          <w:bCs/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</w:r>
    </w:p>
    <w:p>
      <w:pPr>
        <w:pStyle w:val="Normal"/>
        <w:ind w:left="0" w:right="0" w:firstLine="720"/>
        <w:rPr>
          <w:rFonts w:ascii="Times New Roman" w:hAnsi="Times New Roman" w:cs="Times New Roman"/>
          <w:bCs/>
          <w:lang w:val="sr-RS" w:bidi="hi-IN"/>
        </w:rPr>
      </w:pPr>
      <w:r>
        <w:rPr>
          <w:rFonts w:cs="Times New Roman" w:ascii="Times New Roman" w:hAnsi="Times New Roman"/>
          <w:bCs/>
          <w:lang w:val="sr-RS" w:bidi="hi-IN"/>
        </w:rPr>
      </w:r>
    </w:p>
    <w:p>
      <w:pPr>
        <w:pStyle w:val="Normal"/>
        <w:spacing w:lineRule="auto" w:line="360"/>
        <w:rPr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  <w:t>КУПАЦ</w:t>
        <w:tab/>
        <w:tab/>
        <w:tab/>
        <w:tab/>
        <w:tab/>
        <w:tab/>
        <w:tab/>
        <w:tab/>
        <w:tab/>
        <w:t>ПРОДАВАЦ</w:t>
      </w:r>
    </w:p>
    <w:p>
      <w:pPr>
        <w:pStyle w:val="Normal"/>
        <w:spacing w:lineRule="auto" w:line="480"/>
        <w:rPr>
          <w:rFonts w:ascii="Times New Roman" w:hAnsi="Times New Roman" w:cs="Times New Roman"/>
          <w:b/>
          <w:b/>
          <w:bCs/>
          <w:lang w:val="sr-RS" w:bidi="hi-IN"/>
        </w:rPr>
      </w:pPr>
      <w:r>
        <w:rPr>
          <w:rFonts w:cs="Times New Roman" w:ascii="Times New Roman" w:hAnsi="Times New Roman"/>
          <w:b/>
          <w:bCs/>
          <w:lang w:val="sr-RS" w:bidi="hi-IN"/>
        </w:rPr>
      </w:r>
    </w:p>
    <w:p>
      <w:pPr>
        <w:pStyle w:val="Normal"/>
        <w:spacing w:lineRule="auto" w:line="480"/>
        <w:ind w:left="0" w:right="-46" w:hanging="0"/>
        <w:jc w:val="both"/>
        <w:rPr>
          <w:lang w:val="sr-RS" w:bidi="hi-IN"/>
        </w:rPr>
      </w:pPr>
      <w:r>
        <w:rPr>
          <w:rFonts w:cs="Arial"/>
          <w:b/>
          <w:bCs/>
          <w:iCs/>
          <w:sz w:val="22"/>
          <w:szCs w:val="22"/>
          <w:lang w:val="sr-RS" w:bidi="hi-IN"/>
        </w:rPr>
        <w:t>________________</w:t>
        <w:tab/>
        <w:tab/>
        <w:tab/>
        <w:tab/>
        <w:tab/>
        <w:tab/>
        <w:tab/>
        <w:tab/>
        <w:t>______________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Book Antiqua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  <w:lang w:val="sr-Latn-C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zh-CN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Mangal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semiHidden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/>
    <w:lsdException w:name="footer" w:uiPriority="0" w:semiHidden="0" w:unhideWhenUsed="0"/>
    <w:lsdException w:name="index heading" w:uiPriority="0" w:semiHidden="0" w:unhideWhenUsed="0"/>
    <w:lsdException w:name="caption" w:uiPriority="0" w:semiHidden="0" w:unhideWhenUsed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 w:qFormat="1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0" w:unhideWhenUsed="0"/>
    <w:lsdException w:name="Body Text" w:uiPriority="0" w:semiHidden="0" w:unhideWhenUsed="0" w:qFormat="1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 w:qFormat="1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Mangal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Normal"/>
    <w:uiPriority w:val="0"/>
    <w:qFormat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BE5F1" w:themeFill="accent1" w:themeFillTint="33"/>
      <w:outlineLvl w:val="0"/>
    </w:pPr>
    <w:rPr>
      <w:b/>
      <w:bCs/>
      <w:szCs w:val="39"/>
    </w:rPr>
  </w:style>
  <w:style w:type="paragraph" w:styleId="Heading4">
    <w:name w:val="Heading 4"/>
    <w:basedOn w:val="Normal"/>
    <w:next w:val="TextBody"/>
    <w:uiPriority w:val="0"/>
    <w:qFormat/>
    <w:pPr>
      <w:keepNext w:val="true"/>
      <w:numPr>
        <w:ilvl w:val="3"/>
        <w:numId w:val="1"/>
      </w:numPr>
      <w:spacing w:lineRule="atLeast" w:line="100" w:before="0" w:after="0"/>
      <w:ind w:left="864" w:right="0" w:hanging="864"/>
      <w:jc w:val="center"/>
      <w:outlineLvl w:val="3"/>
    </w:pPr>
    <w:rPr>
      <w:rFonts w:ascii="Book Antiqua" w:hAnsi="Book Antiqua" w:eastAsia="Times New Roman" w:cs="Times New Roman"/>
      <w:b/>
      <w:bCs/>
      <w:sz w:val="28"/>
      <w:szCs w:val="24"/>
      <w:u w:val="single"/>
      <w:lang w:val="zh-CN"/>
    </w:rPr>
  </w:style>
  <w:style w:type="character" w:styleId="DefaultParagraphFont" w:default="1">
    <w:name w:val="Default Paragraph Font"/>
    <w:uiPriority w:val="0"/>
    <w:semiHidden/>
    <w:qFormat/>
    <w:rPr/>
  </w:style>
  <w:style w:type="character" w:styleId="VisitedInternetLink">
    <w:name w:val="FollowedHyperlink"/>
    <w:uiPriority w:val="0"/>
    <w:qFormat/>
    <w:rPr>
      <w:color w:val="800080"/>
      <w:u w:val="single"/>
    </w:rPr>
  </w:style>
  <w:style w:type="character" w:styleId="Strong">
    <w:name w:val="Strong"/>
    <w:uiPriority w:val="0"/>
    <w:qFormat/>
    <w:rPr>
      <w:b/>
    </w:rPr>
  </w:style>
  <w:style w:type="character" w:styleId="WW8Num7z0" w:customStyle="1">
    <w:name w:val="WW8Num7z0"/>
    <w:uiPriority w:val="0"/>
    <w:qFormat/>
    <w:rPr>
      <w:rFonts w:ascii="Symbol" w:hAnsi="Symbol" w:cs="Symbol"/>
      <w:color w:val="000000"/>
      <w:sz w:val="22"/>
      <w:szCs w:val="22"/>
      <w:lang w:val="zh-CN"/>
    </w:rPr>
  </w:style>
  <w:style w:type="character" w:styleId="CITE" w:customStyle="1">
    <w:name w:val="CITE"/>
    <w:uiPriority w:val="0"/>
    <w:qFormat/>
    <w:rPr>
      <w:i/>
    </w:rPr>
  </w:style>
  <w:style w:type="character" w:styleId="CODE" w:customStyle="1">
    <w:name w:val="CODE"/>
    <w:uiPriority w:val="0"/>
    <w:qFormat/>
    <w:rPr>
      <w:rFonts w:ascii="Courier New" w:hAnsi="Courier New"/>
      <w:sz w:val="20"/>
    </w:rPr>
  </w:style>
  <w:style w:type="character" w:styleId="Keyboard" w:customStyle="1">
    <w:name w:val="Keyboard"/>
    <w:uiPriority w:val="0"/>
    <w:qFormat/>
    <w:rPr>
      <w:rFonts w:ascii="Courier New" w:hAnsi="Courier New"/>
      <w:b/>
      <w:sz w:val="20"/>
    </w:rPr>
  </w:style>
  <w:style w:type="character" w:styleId="Sample" w:customStyle="1">
    <w:name w:val="Sample"/>
    <w:uiPriority w:val="0"/>
    <w:qFormat/>
    <w:rPr>
      <w:rFonts w:ascii="Courier New" w:hAnsi="Courier New"/>
    </w:rPr>
  </w:style>
  <w:style w:type="character" w:styleId="Typewriter" w:customStyle="1">
    <w:name w:val="Typewriter"/>
    <w:uiPriority w:val="0"/>
    <w:qFormat/>
    <w:rPr>
      <w:rFonts w:ascii="Courier New" w:hAnsi="Courier New"/>
      <w:sz w:val="20"/>
    </w:rPr>
  </w:style>
  <w:style w:type="character" w:styleId="HTMLMarkup" w:customStyle="1">
    <w:name w:val="HTML Markup"/>
    <w:uiPriority w:val="0"/>
    <w:qFormat/>
    <w:rPr>
      <w:vanish/>
      <w:color w:val="FF0000"/>
    </w:rPr>
  </w:style>
  <w:style w:type="character" w:styleId="Comment" w:customStyle="1">
    <w:name w:val="Comment"/>
    <w:uiPriority w:val="0"/>
    <w:qFormat/>
    <w:rPr>
      <w:vanish/>
    </w:rPr>
  </w:style>
  <w:style w:type="character" w:styleId="WW8Num5z0" w:customStyle="1">
    <w:name w:val="WW8Num5z0"/>
    <w:uiPriority w:val="0"/>
    <w:qFormat/>
    <w:rPr>
      <w:rFonts w:ascii="Times New Roman" w:hAnsi="Times New Roman" w:cs="Times New Roman"/>
      <w:sz w:val="22"/>
      <w:szCs w:val="22"/>
      <w:lang w:val="zh-CN"/>
    </w:rPr>
  </w:style>
  <w:style w:type="character" w:styleId="WW8Num15z0" w:customStyle="1">
    <w:name w:val="WW8Num15z0"/>
    <w:uiPriority w:val="0"/>
    <w:qFormat/>
    <w:rPr>
      <w:rFonts w:ascii="Times New Roman" w:hAnsi="Times New Roman" w:cs="Times New Roman"/>
    </w:rPr>
  </w:style>
  <w:style w:type="character" w:styleId="WW8Num10z0" w:customStyle="1">
    <w:name w:val="WW8Num10z0"/>
    <w:uiPriority w:val="0"/>
    <w:qFormat/>
    <w:rPr>
      <w:rFonts w:ascii="Times New Roman" w:hAnsi="Times New Roman" w:cs="Times New Roman"/>
      <w:sz w:val="20"/>
      <w:szCs w:val="20"/>
      <w:lang w:val="sr-Latn-CS"/>
    </w:rPr>
  </w:style>
  <w:style w:type="character" w:styleId="WW8Num14z0" w:customStyle="1">
    <w:name w:val="WW8Num14z0"/>
    <w:uiPriority w:val="0"/>
    <w:qFormat/>
    <w:rPr/>
  </w:style>
  <w:style w:type="paragraph" w:styleId="Heading" w:customStyle="1">
    <w:name w:val="Heading"/>
    <w:basedOn w:val="Normal"/>
    <w:next w:val="TextBody"/>
    <w:uiPriority w:val="0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uiPriority w:val="0"/>
    <w:qFormat/>
    <w:pPr>
      <w:spacing w:lineRule="auto" w:line="276" w:before="0" w:after="140"/>
    </w:pPr>
    <w:rPr/>
  </w:style>
  <w:style w:type="paragraph" w:styleId="List">
    <w:name w:val="List"/>
    <w:basedOn w:val="TextBody"/>
    <w:uiPriority w:val="0"/>
    <w:qFormat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uiPriority w:val="0"/>
    <w:qFormat/>
    <w:pPr>
      <w:suppressLineNumbers/>
    </w:pPr>
    <w:rPr>
      <w:rFonts w:ascii="Arial" w:hAnsi="Arial" w:cs="Mangal"/>
    </w:rPr>
  </w:style>
  <w:style w:type="paragraph" w:styleId="BodyText3">
    <w:name w:val="Body Text 3"/>
    <w:basedOn w:val="Normal"/>
    <w:uiPriority w:val="0"/>
    <w:qFormat/>
    <w:pPr>
      <w:spacing w:lineRule="atLeast" w:line="100" w:before="0" w:after="120"/>
    </w:pPr>
    <w:rPr>
      <w:rFonts w:ascii="Times New Roman" w:hAnsi="Times New Roman" w:eastAsia="Times New Roman" w:cs="Times New Roman"/>
      <w:sz w:val="16"/>
      <w:szCs w:val="16"/>
    </w:rPr>
  </w:style>
  <w:style w:type="paragraph" w:styleId="Caption1">
    <w:name w:val="caption"/>
    <w:basedOn w:val="Normal"/>
    <w:uiPriority w:val="0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DefinitionTerm" w:customStyle="1">
    <w:name w:val="Definition Term"/>
    <w:basedOn w:val="Normal"/>
    <w:uiPriority w:val="0"/>
    <w:qFormat/>
    <w:pPr/>
    <w:rPr/>
  </w:style>
  <w:style w:type="paragraph" w:styleId="DefinitionList" w:customStyle="1">
    <w:name w:val="Definition List"/>
    <w:basedOn w:val="Normal"/>
    <w:uiPriority w:val="0"/>
    <w:qFormat/>
    <w:pPr>
      <w:ind w:left="360" w:hanging="0"/>
    </w:pPr>
    <w:rPr/>
  </w:style>
  <w:style w:type="paragraph" w:styleId="H1" w:customStyle="1">
    <w:name w:val="H1"/>
    <w:basedOn w:val="Normal"/>
    <w:uiPriority w:val="0"/>
    <w:qFormat/>
    <w:pPr>
      <w:keepNext w:val="true"/>
      <w:spacing w:before="100" w:after="100"/>
      <w:outlineLvl w:val="1"/>
    </w:pPr>
    <w:rPr>
      <w:b/>
      <w:kern w:val="2"/>
      <w:sz w:val="48"/>
    </w:rPr>
  </w:style>
  <w:style w:type="paragraph" w:styleId="H2" w:customStyle="1">
    <w:name w:val="H2"/>
    <w:basedOn w:val="Normal"/>
    <w:uiPriority w:val="0"/>
    <w:qFormat/>
    <w:pPr>
      <w:keepNext w:val="true"/>
      <w:spacing w:before="100" w:after="100"/>
      <w:outlineLvl w:val="2"/>
    </w:pPr>
    <w:rPr>
      <w:b/>
      <w:sz w:val="36"/>
    </w:rPr>
  </w:style>
  <w:style w:type="paragraph" w:styleId="H3" w:customStyle="1">
    <w:name w:val="H3"/>
    <w:basedOn w:val="Normal"/>
    <w:uiPriority w:val="0"/>
    <w:qFormat/>
    <w:pPr>
      <w:keepNext w:val="true"/>
      <w:spacing w:before="100" w:after="100"/>
      <w:outlineLvl w:val="3"/>
    </w:pPr>
    <w:rPr>
      <w:b/>
      <w:sz w:val="28"/>
    </w:rPr>
  </w:style>
  <w:style w:type="paragraph" w:styleId="H4" w:customStyle="1">
    <w:name w:val="H4"/>
    <w:basedOn w:val="Normal"/>
    <w:uiPriority w:val="0"/>
    <w:qFormat/>
    <w:pPr>
      <w:keepNext w:val="true"/>
      <w:spacing w:before="100" w:after="100"/>
      <w:outlineLvl w:val="4"/>
    </w:pPr>
    <w:rPr>
      <w:b/>
      <w:sz w:val="24"/>
    </w:rPr>
  </w:style>
  <w:style w:type="paragraph" w:styleId="H5" w:customStyle="1">
    <w:name w:val="H5"/>
    <w:basedOn w:val="Normal"/>
    <w:uiPriority w:val="0"/>
    <w:qFormat/>
    <w:pPr>
      <w:keepNext w:val="true"/>
      <w:spacing w:before="100" w:after="100"/>
      <w:outlineLvl w:val="5"/>
    </w:pPr>
    <w:rPr>
      <w:b/>
      <w:sz w:val="20"/>
    </w:rPr>
  </w:style>
  <w:style w:type="paragraph" w:styleId="H6" w:customStyle="1">
    <w:name w:val="H6"/>
    <w:basedOn w:val="Normal"/>
    <w:uiPriority w:val="0"/>
    <w:qFormat/>
    <w:pPr>
      <w:keepNext w:val="true"/>
      <w:spacing w:before="100" w:after="100"/>
      <w:outlineLvl w:val="6"/>
    </w:pPr>
    <w:rPr>
      <w:b/>
      <w:sz w:val="16"/>
    </w:rPr>
  </w:style>
  <w:style w:type="paragraph" w:styleId="Address" w:customStyle="1">
    <w:name w:val="Address"/>
    <w:basedOn w:val="Normal"/>
    <w:uiPriority w:val="0"/>
    <w:qFormat/>
    <w:pPr/>
    <w:rPr>
      <w:i/>
    </w:rPr>
  </w:style>
  <w:style w:type="paragraph" w:styleId="Blockquote" w:customStyle="1">
    <w:name w:val="Blockquote"/>
    <w:basedOn w:val="Normal"/>
    <w:uiPriority w:val="0"/>
    <w:qFormat/>
    <w:pPr>
      <w:spacing w:before="100" w:after="100"/>
      <w:ind w:left="360" w:right="360" w:hanging="0"/>
    </w:pPr>
    <w:rPr/>
  </w:style>
  <w:style w:type="paragraph" w:styleId="Preformatted" w:customStyle="1">
    <w:name w:val="Preformatted"/>
    <w:basedOn w:val="Normal"/>
    <w:uiPriority w:val="0"/>
    <w:qFormat/>
    <w:pPr>
      <w:tabs>
        <w:tab w:val="clear" w:pos="720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pacing w:before="0" w:after="0"/>
    </w:pPr>
    <w:rPr>
      <w:rFonts w:ascii="Courier New" w:hAnsi="Courier New"/>
      <w:sz w:val="20"/>
    </w:rPr>
  </w:style>
  <w:style w:type="paragraph" w:styleId="ZBottomofForm" w:customStyle="1">
    <w:name w:val="z-Bottom of Form"/>
    <w:uiPriority w:val="0"/>
    <w:qFormat/>
    <w:pPr>
      <w:widowControl/>
      <w:pBdr>
        <w:top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zh-CN" w:bidi="hi-IN"/>
    </w:rPr>
  </w:style>
  <w:style w:type="paragraph" w:styleId="ZTopofForm" w:customStyle="1">
    <w:name w:val="z-Top of Form"/>
    <w:uiPriority w:val="0"/>
    <w:qFormat/>
    <w:pPr>
      <w:widowControl/>
      <w:pBdr>
        <w:bottom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zh-CN" w:bidi="hi-IN"/>
    </w:rPr>
  </w:style>
  <w:style w:type="paragraph" w:styleId="TableContents" w:customStyle="1">
    <w:name w:val="Table Contents"/>
    <w:basedOn w:val="Normal"/>
    <w:uiPriority w:val="0"/>
    <w:qFormat/>
    <w:pPr>
      <w:suppressLineNumbers/>
    </w:pPr>
    <w:rPr/>
  </w:style>
  <w:style w:type="table" w:default="1" w:styleId="6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</TotalTime>
  <Application>LibreOffice/7.3.2.2$Windows_X86_64 LibreOffice_project/49f2b1bff42cfccbd8f788c8dc32c1c309559be0</Application>
  <AppVersion>15.0000</AppVersion>
  <Pages>6</Pages>
  <Words>1565</Words>
  <Characters>9375</Characters>
  <CharactersWithSpaces>10863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2021-01-20T08:51:00Z</dcterms:created>
  <dc:creator>mirela</dc:creator>
  <dc:description/>
  <dc:language>en-US</dc:language>
  <cp:lastModifiedBy/>
  <cp:lastPrinted>2021-09-15T08:50:00Z</cp:lastPrinted>
  <dcterms:modified xsi:type="dcterms:W3CDTF">2025-10-01T09:34:18Z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1</vt:bool>
  </property>
  <property fmtid="{D5CDD505-2E9C-101B-9397-08002B2CF9AE}" pid="4" name="ICV">
    <vt:lpwstr>98E303E714614C158F1034A790DD7CC3_12</vt:lpwstr>
  </property>
  <property fmtid="{D5CDD505-2E9C-101B-9397-08002B2CF9AE}" pid="5" name="KSOProductBuildVer">
    <vt:lpwstr>1033-12.2.0.18283</vt:lpwstr>
  </property>
</Properties>
</file>